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w:t>
      </w:r>
      <w:r>
        <w:rPr>
          <w:rFonts w:hint="eastAsia"/>
          <w:b/>
          <w:sz w:val="36"/>
          <w:lang w:eastAsia="zh-CN"/>
        </w:rPr>
        <w:t>凝结水泵运维技术导则</w:t>
      </w:r>
      <w:r>
        <w:rPr>
          <w:rFonts w:hint="eastAsia"/>
          <w:b/>
          <w:sz w:val="36"/>
        </w:rPr>
        <w:t>》编制说明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jc w:val="both"/>
        <w:rPr>
          <w:b/>
        </w:rPr>
      </w:pPr>
      <w:r>
        <w:rPr>
          <w:rFonts w:hint="eastAsia"/>
          <w:b/>
        </w:rPr>
        <w:t>1、任务来源</w:t>
      </w:r>
    </w:p>
    <w:p>
      <w:pPr>
        <w:ind w:firstLine="480" w:firstLineChars="200"/>
        <w:jc w:val="both"/>
        <w:rPr>
          <w:rFonts w:hint="eastAsia" w:eastAsia="宋体"/>
          <w:lang w:eastAsia="zh-CN"/>
        </w:rPr>
      </w:pPr>
      <w:r>
        <w:rPr>
          <w:rFonts w:hint="eastAsia"/>
        </w:rPr>
        <w:t>标准主要起草单位：中国核能行业协会、</w:t>
      </w:r>
      <w:r>
        <w:rPr>
          <w:rFonts w:hint="eastAsia"/>
          <w:lang w:eastAsia="zh-CN"/>
        </w:rPr>
        <w:t>山东核电有限公司。</w:t>
      </w:r>
    </w:p>
    <w:p>
      <w:pPr>
        <w:ind w:firstLine="480" w:firstLineChars="200"/>
        <w:jc w:val="both"/>
        <w:rPr>
          <w:rFonts w:hint="eastAsia"/>
          <w:highlight w:val="none"/>
          <w:lang w:eastAsia="zh-CN"/>
        </w:rPr>
      </w:pPr>
      <w:r>
        <w:rPr>
          <w:rFonts w:hint="eastAsia"/>
        </w:rPr>
        <w:t>标准主要起草人员：</w:t>
      </w:r>
      <w:r>
        <w:rPr>
          <w:rFonts w:hint="eastAsia"/>
          <w:highlight w:val="none"/>
          <w:lang w:eastAsia="zh-CN"/>
        </w:rPr>
        <w:t>郑佳强、王秀超、邓龙杰</w:t>
      </w:r>
      <w:bookmarkStart w:id="0" w:name="_GoBack"/>
      <w:bookmarkEnd w:id="0"/>
    </w:p>
    <w:p>
      <w:pPr>
        <w:ind w:firstLine="480" w:firstLineChars="200"/>
        <w:jc w:val="both"/>
      </w:pPr>
      <w:r>
        <w:rPr>
          <w:rFonts w:hint="eastAsia"/>
        </w:rPr>
        <w:t>标准编制起始时间：自项目立项通过日起至</w:t>
      </w:r>
      <w:r>
        <w:t>202</w:t>
      </w:r>
      <w:r>
        <w:rPr>
          <w:rFonts w:hint="eastAsia"/>
          <w:lang w:val="en-US" w:eastAsia="zh-CN"/>
        </w:rPr>
        <w:t>3</w:t>
      </w:r>
      <w:r>
        <w:rPr>
          <w:rFonts w:hint="eastAsia"/>
        </w:rPr>
        <w:t>年</w:t>
      </w:r>
      <w:r>
        <w:rPr>
          <w:rFonts w:hint="eastAsia"/>
          <w:lang w:val="en-US" w:eastAsia="zh-CN"/>
        </w:rPr>
        <w:t>7</w:t>
      </w:r>
      <w:r>
        <w:rPr>
          <w:rFonts w:hint="eastAsia"/>
        </w:rPr>
        <w:t>月3</w:t>
      </w:r>
      <w:r>
        <w:rPr>
          <w:rFonts w:hint="eastAsia"/>
          <w:lang w:val="en-US" w:eastAsia="zh-CN"/>
        </w:rPr>
        <w:t>1</w:t>
      </w:r>
      <w:r>
        <w:rPr>
          <w:rFonts w:hint="eastAsia"/>
        </w:rPr>
        <w:t>日。</w:t>
      </w:r>
    </w:p>
    <w:p>
      <w:pPr>
        <w:ind w:firstLine="480" w:firstLineChars="200"/>
        <w:jc w:val="both"/>
      </w:pPr>
      <w:r>
        <w:rPr>
          <w:rFonts w:hint="eastAsia"/>
        </w:rPr>
        <w:t>本标准为中国核能行业协会技术服务部和</w:t>
      </w:r>
      <w:r>
        <w:rPr>
          <w:rFonts w:hint="eastAsia"/>
          <w:lang w:eastAsia="zh-CN"/>
        </w:rPr>
        <w:t>山东核电</w:t>
      </w:r>
      <w:r>
        <w:rPr>
          <w:rFonts w:hint="eastAsia"/>
        </w:rPr>
        <w:t>有限公司牵头编制，按照协会秘书处和核协团标办公室要求，不再单独签订委托合同。</w:t>
      </w:r>
    </w:p>
    <w:p>
      <w:pPr>
        <w:jc w:val="both"/>
        <w:rPr>
          <w:b/>
        </w:rPr>
      </w:pPr>
      <w:r>
        <w:rPr>
          <w:rFonts w:hint="eastAsia"/>
          <w:b/>
        </w:rPr>
        <w:t>2、主要工作过程</w:t>
      </w:r>
    </w:p>
    <w:p>
      <w:pPr>
        <w:autoSpaceDE w:val="0"/>
        <w:autoSpaceDN w:val="0"/>
        <w:adjustRightInd w:val="0"/>
        <w:spacing w:line="360" w:lineRule="auto"/>
        <w:ind w:firstLine="480" w:firstLineChars="200"/>
        <w:jc w:val="left"/>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核电厂常规岛凝结水泵等关键泵是保证核电厂安全运行和汽水品质的关键设备，对核电厂安全、稳定和经济运行起到至关重要的作用。随着核电关键泵国产化程度不断推进,编制一套核电站常规岛关键泵标准，为今后泵国产化提供运维依据，对解决泵业供需关注的焦点问题具有十分必要的意义。</w:t>
      </w:r>
    </w:p>
    <w:p>
      <w:pPr>
        <w:spacing w:line="360" w:lineRule="auto"/>
        <w:ind w:firstLine="480" w:firstLineChars="200"/>
        <w:jc w:val="both"/>
        <w:rPr>
          <w:rFonts w:hint="eastAsia" w:cstheme="minorBidi"/>
          <w:kern w:val="2"/>
          <w:sz w:val="24"/>
          <w:szCs w:val="24"/>
          <w:lang w:val="en-US" w:eastAsia="zh-CN" w:bidi="ar-SA"/>
        </w:rPr>
      </w:pPr>
      <w:r>
        <w:rPr>
          <w:rFonts w:hint="eastAsia" w:ascii="宋体" w:hAnsi="宋体" w:eastAsia="宋体" w:cstheme="minorBidi"/>
          <w:kern w:val="2"/>
          <w:sz w:val="24"/>
          <w:szCs w:val="24"/>
          <w:lang w:val="en-US" w:eastAsia="zh-CN" w:bidi="ar-SA"/>
        </w:rPr>
        <w:t>中国核能行业协会团体标准（以下简称核协团标）属于国家标准化法规定的社会团体标准，是由协会统一管理并组织制定的满足市场和创新需要的自愿性标准，是国家标准和行业标准的有效补充。为实现核电站关键用泵的科学化、标准化、卓越化管理，协会组织核电集团、核电业主、AE公司、研究设计院所、制造厂等有关单位开展核电站常规岛关键用泵标准的编制及团体标准转换工作，时间2年</w:t>
      </w:r>
      <w:r>
        <w:rPr>
          <w:rFonts w:hint="eastAsia" w:cstheme="minorBidi"/>
          <w:kern w:val="2"/>
          <w:sz w:val="24"/>
          <w:szCs w:val="24"/>
          <w:lang w:val="en-US" w:eastAsia="zh-CN" w:bidi="ar-SA"/>
        </w:rPr>
        <w:t>。</w:t>
      </w:r>
    </w:p>
    <w:p>
      <w:pPr>
        <w:pStyle w:val="11"/>
        <w:numPr>
          <w:ilvl w:val="0"/>
          <w:numId w:val="0"/>
        </w:num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2022年3月底前，完善团标草案，各主笔单位专家填写立项申报表并正式提交；</w:t>
      </w:r>
    </w:p>
    <w:p>
      <w:pPr>
        <w:pStyle w:val="11"/>
        <w:numPr>
          <w:ilvl w:val="0"/>
          <w:numId w:val="0"/>
        </w:numPr>
        <w:ind w:leftChars="0"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2022年5月底，召开立项评审会，完成并上传征求意见稿；</w:t>
      </w:r>
    </w:p>
    <w:p>
      <w:pPr>
        <w:pStyle w:val="11"/>
        <w:numPr>
          <w:ilvl w:val="0"/>
          <w:numId w:val="0"/>
        </w:numPr>
        <w:ind w:leftChars="0"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2022年7月底前，各单位与协会完成技术服务合同签订；</w:t>
      </w:r>
    </w:p>
    <w:p>
      <w:pPr>
        <w:pStyle w:val="11"/>
        <w:numPr>
          <w:ilvl w:val="0"/>
          <w:numId w:val="0"/>
        </w:numPr>
        <w:ind w:leftChars="0"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2022年11月底前，根据征求意见（定向和公开），完成并上传征求意见稿；</w:t>
      </w:r>
    </w:p>
    <w:p>
      <w:pPr>
        <w:pStyle w:val="11"/>
        <w:numPr>
          <w:ilvl w:val="0"/>
          <w:numId w:val="0"/>
        </w:numPr>
        <w:ind w:leftChars="0"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2023年5月底前，完成并上传报批稿；</w:t>
      </w:r>
    </w:p>
    <w:p>
      <w:pPr>
        <w:pStyle w:val="11"/>
        <w:numPr>
          <w:ilvl w:val="0"/>
          <w:numId w:val="0"/>
        </w:numPr>
        <w:spacing w:after="156" w:afterLines="50"/>
        <w:ind w:leftChars="0"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2023年7月底前，6份团标正式发布。</w:t>
      </w:r>
    </w:p>
    <w:p>
      <w:pPr>
        <w:ind w:firstLine="480" w:firstLineChars="200"/>
        <w:jc w:val="both"/>
        <w:rPr>
          <w:rFonts w:hint="eastAsia" w:cstheme="minorBidi"/>
          <w:kern w:val="2"/>
          <w:sz w:val="24"/>
          <w:szCs w:val="24"/>
          <w:lang w:val="en-US" w:eastAsia="zh-CN" w:bidi="ar-SA"/>
        </w:rPr>
      </w:pPr>
    </w:p>
    <w:p>
      <w:pPr>
        <w:jc w:val="both"/>
        <w:rPr>
          <w:b/>
        </w:rPr>
      </w:pPr>
      <w:r>
        <w:rPr>
          <w:rFonts w:hint="eastAsia"/>
          <w:b/>
        </w:rPr>
        <w:t>3、</w:t>
      </w:r>
      <w:r>
        <w:rPr>
          <w:b/>
        </w:rPr>
        <w:t>主要参加单位和工作组成员及其所作的工作等</w:t>
      </w:r>
    </w:p>
    <w:p>
      <w:pPr>
        <w:pStyle w:val="12"/>
        <w:spacing w:line="360" w:lineRule="auto"/>
        <w:ind w:firstLine="480"/>
        <w:rPr>
          <w:rFonts w:hint="eastAsia" w:hAnsi="宋体" w:cstheme="minorBidi"/>
          <w:kern w:val="2"/>
          <w:sz w:val="24"/>
          <w:szCs w:val="24"/>
          <w:lang w:eastAsia="zh-CN"/>
        </w:rPr>
      </w:pPr>
      <w:r>
        <w:rPr>
          <w:rFonts w:hint="eastAsia" w:hAnsi="宋体" w:cstheme="minorBidi"/>
          <w:kern w:val="2"/>
          <w:sz w:val="24"/>
          <w:szCs w:val="24"/>
        </w:rPr>
        <w:t>本标准起草单位：中国核能行业协会、</w:t>
      </w:r>
      <w:r>
        <w:rPr>
          <w:rFonts w:hint="eastAsia" w:hAnsi="宋体" w:cstheme="minorBidi"/>
          <w:kern w:val="2"/>
          <w:sz w:val="24"/>
          <w:szCs w:val="24"/>
          <w:lang w:eastAsia="zh-CN"/>
        </w:rPr>
        <w:t>山东核电有限公司。</w:t>
      </w:r>
    </w:p>
    <w:p>
      <w:pPr>
        <w:pStyle w:val="12"/>
        <w:spacing w:line="360" w:lineRule="auto"/>
        <w:ind w:firstLine="480"/>
      </w:pPr>
      <w:r>
        <w:rPr>
          <w:rFonts w:hint="eastAsia" w:hAnsi="宋体" w:cstheme="minorBidi"/>
          <w:kern w:val="2"/>
          <w:sz w:val="24"/>
          <w:szCs w:val="24"/>
        </w:rPr>
        <w:t>中国核能行业协会负责本标准编制的整体组织工作，包括组建编制组、制定编制计划、组织相关专家审查和讨论、提交各阶段的标准文稿。</w:t>
      </w:r>
      <w:r>
        <w:rPr>
          <w:rFonts w:hint="eastAsia" w:hAnsi="宋体" w:cstheme="minorBidi"/>
          <w:kern w:val="2"/>
          <w:sz w:val="24"/>
          <w:szCs w:val="24"/>
          <w:lang w:eastAsia="zh-CN"/>
        </w:rPr>
        <w:t>山东核电</w:t>
      </w:r>
      <w:r>
        <w:rPr>
          <w:rFonts w:hint="eastAsia" w:hAnsi="宋体" w:cstheme="minorBidi"/>
          <w:kern w:val="2"/>
          <w:sz w:val="24"/>
          <w:szCs w:val="24"/>
        </w:rPr>
        <w:t>有限公司负责本标准整体框架结构，以及</w:t>
      </w:r>
      <w:r>
        <w:rPr>
          <w:rFonts w:hint="eastAsia" w:hAnsi="宋体" w:cstheme="minorBidi"/>
          <w:kern w:val="2"/>
          <w:sz w:val="24"/>
          <w:szCs w:val="24"/>
          <w:lang w:eastAsia="zh-CN"/>
        </w:rPr>
        <w:t>详细技术</w:t>
      </w:r>
      <w:r>
        <w:rPr>
          <w:rFonts w:hint="eastAsia" w:hAnsi="宋体" w:cstheme="minorBidi"/>
          <w:kern w:val="2"/>
          <w:sz w:val="24"/>
          <w:szCs w:val="24"/>
        </w:rPr>
        <w:t>内容的编写。</w:t>
      </w:r>
    </w:p>
    <w:p>
      <w:pPr>
        <w:jc w:val="both"/>
        <w:outlineLvl w:val="0"/>
        <w:rPr>
          <w:b/>
          <w:sz w:val="28"/>
          <w:szCs w:val="28"/>
        </w:rPr>
      </w:pPr>
      <w:r>
        <w:rPr>
          <w:rFonts w:hint="eastAsia"/>
          <w:b/>
          <w:sz w:val="28"/>
          <w:szCs w:val="28"/>
        </w:rPr>
        <w:t>二、标准编制原则和主要内容</w:t>
      </w:r>
    </w:p>
    <w:p>
      <w:pPr>
        <w:jc w:val="both"/>
        <w:rPr>
          <w:b/>
        </w:rPr>
      </w:pPr>
      <w:r>
        <w:rPr>
          <w:rFonts w:hint="eastAsia"/>
          <w:b/>
        </w:rPr>
        <w:t>1、标准编制原则</w:t>
      </w:r>
    </w:p>
    <w:p>
      <w:pPr>
        <w:ind w:firstLine="480" w:firstLineChars="200"/>
        <w:jc w:val="both"/>
        <w:rPr>
          <w:rFonts w:hint="eastAsia"/>
          <w:highlight w:val="none"/>
          <w:lang w:eastAsia="zh-CN"/>
        </w:rPr>
      </w:pPr>
      <w:r>
        <w:rPr>
          <w:rFonts w:hint="eastAsia"/>
          <w:highlight w:val="none"/>
        </w:rPr>
        <w:t>（</w:t>
      </w:r>
      <w:r>
        <w:rPr>
          <w:highlight w:val="none"/>
        </w:rPr>
        <w:t>1）</w:t>
      </w:r>
      <w:r>
        <w:rPr>
          <w:rFonts w:hint="eastAsia"/>
          <w:highlight w:val="none"/>
          <w:lang w:eastAsia="zh-CN"/>
        </w:rPr>
        <w:t>准确性</w:t>
      </w:r>
    </w:p>
    <w:p>
      <w:pPr>
        <w:ind w:firstLine="480" w:firstLineChars="200"/>
        <w:jc w:val="both"/>
        <w:rPr>
          <w:rFonts w:hint="default"/>
          <w:highlight w:val="none"/>
          <w:lang w:val="en-US" w:eastAsia="zh-CN"/>
        </w:rPr>
      </w:pPr>
      <w:r>
        <w:rPr>
          <w:rFonts w:hint="eastAsia"/>
          <w:highlight w:val="none"/>
          <w:lang w:eastAsia="zh-CN"/>
        </w:rPr>
        <w:t>凝结水泵运维技术导则中术语定义等相关内容应准确，表述无歧义。运维基本要求、运行技术要求、维修技术要求等文字表述</w:t>
      </w:r>
      <w:r>
        <w:rPr>
          <w:rFonts w:hint="eastAsia"/>
          <w:highlight w:val="none"/>
          <w:lang w:val="en-US" w:eastAsia="zh-CN"/>
        </w:rPr>
        <w:t>准确无歧义，相关要求的内容严谨、准确。</w:t>
      </w:r>
    </w:p>
    <w:p>
      <w:pPr>
        <w:ind w:firstLine="480" w:firstLineChars="200"/>
        <w:jc w:val="both"/>
        <w:rPr>
          <w:rFonts w:hint="eastAsia"/>
          <w:highlight w:val="none"/>
          <w:lang w:eastAsia="zh-CN"/>
        </w:rPr>
      </w:pPr>
      <w:r>
        <w:rPr>
          <w:rFonts w:hint="eastAsia"/>
          <w:highlight w:val="none"/>
          <w:lang w:eastAsia="zh-CN"/>
        </w:rPr>
        <w:t>（</w:t>
      </w:r>
      <w:r>
        <w:rPr>
          <w:rFonts w:hint="eastAsia"/>
          <w:highlight w:val="none"/>
          <w:lang w:val="en-US" w:eastAsia="zh-CN"/>
        </w:rPr>
        <w:t>2</w:t>
      </w:r>
      <w:r>
        <w:rPr>
          <w:rFonts w:hint="eastAsia"/>
          <w:highlight w:val="none"/>
          <w:lang w:eastAsia="zh-CN"/>
        </w:rPr>
        <w:t>）通用性</w:t>
      </w:r>
    </w:p>
    <w:p>
      <w:pPr>
        <w:ind w:firstLine="480" w:firstLineChars="200"/>
        <w:jc w:val="both"/>
        <w:rPr>
          <w:rFonts w:hint="eastAsia"/>
          <w:highlight w:val="none"/>
          <w:lang w:eastAsia="zh-CN"/>
        </w:rPr>
      </w:pPr>
      <w:r>
        <w:rPr>
          <w:rFonts w:hint="eastAsia"/>
          <w:highlight w:val="none"/>
          <w:lang w:eastAsia="zh-CN"/>
        </w:rPr>
        <w:t>凝结水泵运维技术导则编写过程中充分调研和研究国内核电厂凝结水泵的结构形式和运维要求，经过充分的讨论，总结经验和良好实践，为国内核电厂凝结水泵运维提供准确、详实的依据。</w:t>
      </w:r>
    </w:p>
    <w:p>
      <w:pPr>
        <w:numPr>
          <w:ilvl w:val="0"/>
          <w:numId w:val="1"/>
        </w:numPr>
        <w:ind w:firstLine="480" w:firstLineChars="200"/>
        <w:jc w:val="both"/>
        <w:rPr>
          <w:rFonts w:hint="eastAsia"/>
          <w:highlight w:val="none"/>
          <w:lang w:eastAsia="zh-CN"/>
        </w:rPr>
      </w:pPr>
      <w:r>
        <w:rPr>
          <w:rFonts w:hint="eastAsia"/>
          <w:highlight w:val="none"/>
          <w:lang w:eastAsia="zh-CN"/>
        </w:rPr>
        <w:t>实用性</w:t>
      </w:r>
    </w:p>
    <w:p>
      <w:pPr>
        <w:numPr>
          <w:ilvl w:val="0"/>
          <w:numId w:val="0"/>
        </w:numPr>
        <w:jc w:val="both"/>
        <w:rPr>
          <w:rFonts w:hint="default"/>
          <w:highlight w:val="none"/>
          <w:lang w:val="en-US" w:eastAsia="zh-CN"/>
        </w:rPr>
      </w:pPr>
      <w:r>
        <w:rPr>
          <w:rFonts w:hint="eastAsia"/>
          <w:highlight w:val="none"/>
          <w:lang w:val="en-US" w:eastAsia="zh-CN"/>
        </w:rPr>
        <w:t xml:space="preserve">    标准中提出的</w:t>
      </w:r>
      <w:r>
        <w:rPr>
          <w:rFonts w:hint="eastAsia"/>
          <w:highlight w:val="none"/>
          <w:lang w:eastAsia="zh-CN"/>
        </w:rPr>
        <w:t>运维基本要求、运行技术要求、维修技术要求等相关内容颗粒度合理且完整，能够为国内核电厂凝结水泵的运行和维修提供有价值的指导。</w:t>
      </w:r>
    </w:p>
    <w:p>
      <w:pPr>
        <w:ind w:firstLine="480" w:firstLineChars="200"/>
        <w:jc w:val="both"/>
        <w:rPr>
          <w:rFonts w:hint="eastAsia" w:eastAsia="宋体"/>
          <w:highlight w:val="none"/>
          <w:lang w:eastAsia="zh-CN"/>
        </w:rPr>
      </w:pPr>
      <w:r>
        <w:rPr>
          <w:rFonts w:hint="eastAsia"/>
          <w:highlight w:val="none"/>
          <w:lang w:eastAsia="zh-CN"/>
        </w:rPr>
        <w:t>（</w:t>
      </w:r>
      <w:r>
        <w:rPr>
          <w:rFonts w:hint="eastAsia"/>
          <w:highlight w:val="none"/>
          <w:lang w:val="en-US" w:eastAsia="zh-CN"/>
        </w:rPr>
        <w:t>4</w:t>
      </w:r>
      <w:r>
        <w:rPr>
          <w:rFonts w:hint="eastAsia"/>
          <w:highlight w:val="none"/>
          <w:lang w:eastAsia="zh-CN"/>
        </w:rPr>
        <w:t>）前瞻性</w:t>
      </w:r>
    </w:p>
    <w:p>
      <w:pPr>
        <w:ind w:firstLine="480" w:firstLineChars="200"/>
        <w:jc w:val="both"/>
        <w:rPr>
          <w:highlight w:val="none"/>
        </w:rPr>
      </w:pPr>
      <w:r>
        <w:rPr>
          <w:rFonts w:hint="eastAsia"/>
          <w:highlight w:val="none"/>
        </w:rPr>
        <w:t>标准中体现数字化监测和智能化维护等要求，</w:t>
      </w:r>
      <w:r>
        <w:rPr>
          <w:rFonts w:hint="eastAsia"/>
          <w:highlight w:val="none"/>
          <w:lang w:eastAsia="zh-CN"/>
        </w:rPr>
        <w:t>通过对相关参数的数字化检测及时发现设备运行过程中的异常，并通过故障现象和参数趋势的分析定位故障点，制定合适的检修策略，经过积累逐步实现智能化维护。</w:t>
      </w:r>
    </w:p>
    <w:p>
      <w:pPr>
        <w:jc w:val="both"/>
        <w:rPr>
          <w:b/>
        </w:rPr>
      </w:pPr>
      <w:r>
        <w:rPr>
          <w:rFonts w:hint="eastAsia"/>
          <w:b/>
        </w:rPr>
        <w:t>2、标准主要内容的依据</w:t>
      </w:r>
    </w:p>
    <w:p>
      <w:pPr>
        <w:ind w:firstLine="480" w:firstLineChars="200"/>
        <w:jc w:val="both"/>
        <w:rPr>
          <w:rFonts w:hint="eastAsia"/>
        </w:rPr>
      </w:pPr>
      <w:r>
        <w:rPr>
          <w:rFonts w:hint="eastAsia"/>
        </w:rPr>
        <w:t>本标准遵从</w:t>
      </w:r>
      <w:r>
        <w:t>GB/T 1.1-2</w:t>
      </w:r>
      <w:r>
        <w:rPr>
          <w:rFonts w:hint="eastAsia"/>
        </w:rPr>
        <w:t>020</w:t>
      </w:r>
      <w:r>
        <w:t>的要求，在满足国家相关法律法规的基础上，参考了国内外相关标准，包括但不限于如</w:t>
      </w:r>
      <w:r>
        <w:rPr>
          <w:rFonts w:hint="eastAsia"/>
        </w:rPr>
        <w:t>：</w:t>
      </w:r>
    </w:p>
    <w:p>
      <w:pPr>
        <w:spacing w:line="360" w:lineRule="auto"/>
        <w:jc w:val="left"/>
        <w:outlineLvl w:val="9"/>
        <w:rPr>
          <w:rFonts w:hint="eastAsia"/>
        </w:rPr>
      </w:pPr>
      <w:r>
        <w:rPr>
          <w:rFonts w:hint="eastAsia"/>
        </w:rPr>
        <w:t>HAF103</w:t>
      </w:r>
      <w:r>
        <w:rPr>
          <w:rFonts w:hint="eastAsia"/>
        </w:rPr>
        <w:tab/>
      </w:r>
      <w:r>
        <w:rPr>
          <w:rFonts w:hint="eastAsia"/>
        </w:rPr>
        <w:t>核电厂运行安全规定</w:t>
      </w:r>
    </w:p>
    <w:p>
      <w:pPr>
        <w:spacing w:line="360" w:lineRule="auto"/>
        <w:jc w:val="left"/>
        <w:outlineLvl w:val="9"/>
        <w:rPr>
          <w:rFonts w:hint="eastAsia"/>
        </w:rPr>
      </w:pPr>
      <w:r>
        <w:rPr>
          <w:rFonts w:hint="eastAsia"/>
        </w:rPr>
        <w:t>HI-液压学会</w:t>
      </w:r>
      <w:r>
        <w:rPr>
          <w:rFonts w:hint="eastAsia"/>
        </w:rPr>
        <w:tab/>
      </w:r>
      <w:r>
        <w:rPr>
          <w:rFonts w:hint="eastAsia"/>
        </w:rPr>
        <w:t>离心式、回转式与往复式泵的标准</w:t>
      </w:r>
    </w:p>
    <w:p>
      <w:pPr>
        <w:spacing w:line="360" w:lineRule="auto"/>
        <w:jc w:val="left"/>
        <w:outlineLvl w:val="9"/>
        <w:rPr>
          <w:rFonts w:hint="eastAsia"/>
        </w:rPr>
      </w:pPr>
      <w:r>
        <w:rPr>
          <w:rFonts w:hint="eastAsia"/>
        </w:rPr>
        <w:t>API610</w:t>
      </w:r>
      <w:r>
        <w:rPr>
          <w:rFonts w:hint="eastAsia"/>
        </w:rPr>
        <w:tab/>
      </w:r>
      <w:r>
        <w:rPr>
          <w:rFonts w:hint="eastAsia"/>
        </w:rPr>
        <w:t>石油、重化学工业和天然气工业用的离心泵</w:t>
      </w:r>
    </w:p>
    <w:p>
      <w:pPr>
        <w:spacing w:line="360" w:lineRule="auto"/>
        <w:jc w:val="left"/>
        <w:outlineLvl w:val="9"/>
        <w:rPr>
          <w:rFonts w:hint="eastAsia"/>
        </w:rPr>
      </w:pPr>
      <w:r>
        <w:rPr>
          <w:rFonts w:hint="eastAsia"/>
        </w:rPr>
        <w:t>GB/T3216-2005</w:t>
      </w:r>
      <w:r>
        <w:rPr>
          <w:rFonts w:hint="eastAsia"/>
        </w:rPr>
        <w:tab/>
      </w:r>
      <w:r>
        <w:rPr>
          <w:rFonts w:hint="eastAsia"/>
        </w:rPr>
        <w:t>回转动力泵 水力性能验收试验1级和2级</w:t>
      </w:r>
    </w:p>
    <w:p>
      <w:pPr>
        <w:spacing w:line="360" w:lineRule="auto"/>
        <w:jc w:val="left"/>
        <w:outlineLvl w:val="9"/>
        <w:rPr>
          <w:rFonts w:hint="eastAsia"/>
        </w:rPr>
      </w:pPr>
      <w:r>
        <w:rPr>
          <w:rFonts w:hint="eastAsia"/>
        </w:rPr>
        <w:t>GB/T9239.1-2006</w:t>
      </w:r>
      <w:r>
        <w:rPr>
          <w:rFonts w:hint="eastAsia"/>
        </w:rPr>
        <w:tab/>
      </w:r>
      <w:r>
        <w:rPr>
          <w:rFonts w:hint="eastAsia"/>
        </w:rPr>
        <w:t>机械振动 恒态（刚性）转子平衡品质要求</w:t>
      </w:r>
    </w:p>
    <w:p>
      <w:pPr>
        <w:spacing w:line="360" w:lineRule="auto"/>
        <w:jc w:val="left"/>
        <w:outlineLvl w:val="9"/>
        <w:rPr>
          <w:rFonts w:hint="eastAsia"/>
        </w:rPr>
      </w:pPr>
      <w:r>
        <w:rPr>
          <w:rFonts w:hint="eastAsia"/>
        </w:rPr>
        <w:t>GB/T13006</w:t>
      </w:r>
      <w:r>
        <w:rPr>
          <w:rFonts w:hint="eastAsia"/>
        </w:rPr>
        <w:tab/>
      </w:r>
      <w:r>
        <w:rPr>
          <w:rFonts w:hint="eastAsia"/>
        </w:rPr>
        <w:t>离心泵，混流泵，轴流泵的汽蚀余量</w:t>
      </w:r>
    </w:p>
    <w:p>
      <w:pPr>
        <w:spacing w:line="360" w:lineRule="auto"/>
        <w:jc w:val="left"/>
        <w:outlineLvl w:val="9"/>
        <w:rPr>
          <w:rFonts w:hint="eastAsia"/>
        </w:rPr>
      </w:pPr>
      <w:r>
        <w:rPr>
          <w:rFonts w:hint="eastAsia"/>
        </w:rPr>
        <w:t>NB/T25080</w:t>
      </w:r>
      <w:r>
        <w:rPr>
          <w:rFonts w:hint="eastAsia"/>
        </w:rPr>
        <w:tab/>
      </w:r>
      <w:r>
        <w:rPr>
          <w:rFonts w:hint="eastAsia"/>
        </w:rPr>
        <w:t>核电厂水泵定期试验规范</w:t>
      </w:r>
    </w:p>
    <w:p>
      <w:pPr>
        <w:spacing w:line="360" w:lineRule="auto"/>
        <w:jc w:val="left"/>
        <w:outlineLvl w:val="9"/>
        <w:rPr>
          <w:rFonts w:hint="eastAsia"/>
        </w:rPr>
      </w:pPr>
      <w:r>
        <w:rPr>
          <w:rFonts w:hint="eastAsia"/>
        </w:rPr>
        <w:t>GB/19762</w:t>
      </w:r>
      <w:r>
        <w:rPr>
          <w:rFonts w:hint="eastAsia"/>
        </w:rPr>
        <w:tab/>
      </w:r>
      <w:r>
        <w:rPr>
          <w:rFonts w:hint="eastAsia"/>
        </w:rPr>
        <w:t>清水离心泵能效限定值及节能评价值</w:t>
      </w:r>
    </w:p>
    <w:p>
      <w:pPr>
        <w:spacing w:line="360" w:lineRule="auto"/>
        <w:jc w:val="left"/>
        <w:outlineLvl w:val="9"/>
        <w:rPr>
          <w:rFonts w:hint="eastAsia"/>
        </w:rPr>
      </w:pPr>
      <w:r>
        <w:rPr>
          <w:rFonts w:hint="eastAsia"/>
        </w:rPr>
        <w:t>GB26164</w:t>
      </w:r>
      <w:r>
        <w:rPr>
          <w:rFonts w:hint="eastAsia"/>
        </w:rPr>
        <w:tab/>
      </w:r>
      <w:r>
        <w:rPr>
          <w:rFonts w:hint="eastAsia"/>
        </w:rPr>
        <w:t>电业安全工作规程第1部分：热力和机械</w:t>
      </w:r>
    </w:p>
    <w:p>
      <w:pPr>
        <w:spacing w:line="360" w:lineRule="auto"/>
        <w:jc w:val="left"/>
        <w:outlineLvl w:val="9"/>
        <w:rPr>
          <w:rFonts w:hint="eastAsia"/>
        </w:rPr>
      </w:pPr>
      <w:r>
        <w:rPr>
          <w:rFonts w:hint="eastAsia"/>
        </w:rPr>
        <w:t>GB/T 28551</w:t>
      </w:r>
      <w:r>
        <w:rPr>
          <w:rFonts w:hint="eastAsia"/>
        </w:rPr>
        <w:tab/>
      </w:r>
      <w:r>
        <w:rPr>
          <w:rFonts w:hint="eastAsia"/>
        </w:rPr>
        <w:t>核电厂离心泵组调试技术导则</w:t>
      </w:r>
    </w:p>
    <w:p>
      <w:pPr>
        <w:spacing w:line="360" w:lineRule="auto"/>
        <w:jc w:val="left"/>
        <w:outlineLvl w:val="9"/>
        <w:rPr>
          <w:rFonts w:hint="eastAsia"/>
        </w:rPr>
      </w:pPr>
      <w:r>
        <w:rPr>
          <w:rFonts w:hint="eastAsia"/>
        </w:rPr>
        <w:t>GB10069</w:t>
      </w:r>
      <w:r>
        <w:rPr>
          <w:rFonts w:hint="eastAsia"/>
        </w:rPr>
        <w:tab/>
      </w:r>
      <w:r>
        <w:rPr>
          <w:rFonts w:hint="eastAsia"/>
        </w:rPr>
        <w:t>旋转电机噪声测定方法及限制噪声限值</w:t>
      </w:r>
    </w:p>
    <w:p>
      <w:pPr>
        <w:spacing w:line="360" w:lineRule="auto"/>
        <w:jc w:val="left"/>
        <w:outlineLvl w:val="9"/>
        <w:rPr>
          <w:rFonts w:hint="eastAsia"/>
        </w:rPr>
      </w:pPr>
      <w:r>
        <w:rPr>
          <w:rFonts w:hint="eastAsia"/>
        </w:rPr>
        <w:t>GB1032</w:t>
      </w:r>
      <w:r>
        <w:rPr>
          <w:rFonts w:hint="eastAsia"/>
        </w:rPr>
        <w:tab/>
      </w:r>
      <w:r>
        <w:rPr>
          <w:rFonts w:hint="eastAsia"/>
        </w:rPr>
        <w:t>三项异步电机试验方法</w:t>
      </w:r>
    </w:p>
    <w:p>
      <w:pPr>
        <w:spacing w:line="360" w:lineRule="auto"/>
        <w:jc w:val="left"/>
        <w:outlineLvl w:val="9"/>
        <w:rPr>
          <w:rFonts w:hint="eastAsia"/>
        </w:rPr>
      </w:pPr>
      <w:r>
        <w:rPr>
          <w:rFonts w:hint="eastAsia"/>
        </w:rPr>
        <w:t>PTC8.2</w:t>
      </w:r>
      <w:r>
        <w:rPr>
          <w:rFonts w:hint="eastAsia"/>
        </w:rPr>
        <w:tab/>
      </w:r>
      <w:r>
        <w:rPr>
          <w:rFonts w:hint="eastAsia"/>
        </w:rPr>
        <w:t>离心泵动力试验规范</w:t>
      </w:r>
    </w:p>
    <w:p>
      <w:pPr>
        <w:spacing w:line="360" w:lineRule="auto"/>
        <w:jc w:val="left"/>
        <w:outlineLvl w:val="9"/>
        <w:rPr>
          <w:rFonts w:hint="eastAsia"/>
        </w:rPr>
      </w:pPr>
      <w:r>
        <w:rPr>
          <w:rFonts w:hint="eastAsia"/>
        </w:rPr>
        <w:t>JB/T6879</w:t>
      </w:r>
      <w:r>
        <w:rPr>
          <w:rFonts w:hint="eastAsia"/>
        </w:rPr>
        <w:tab/>
      </w:r>
      <w:r>
        <w:rPr>
          <w:rFonts w:hint="eastAsia"/>
        </w:rPr>
        <w:t>离心泵铸件过流部位尺寸公差</w:t>
      </w:r>
    </w:p>
    <w:p>
      <w:pPr>
        <w:spacing w:line="360" w:lineRule="auto"/>
        <w:jc w:val="left"/>
        <w:outlineLvl w:val="9"/>
        <w:rPr>
          <w:rFonts w:hint="eastAsia"/>
        </w:rPr>
      </w:pPr>
      <w:r>
        <w:rPr>
          <w:rFonts w:hint="eastAsia"/>
        </w:rPr>
        <w:t>JB/T8097</w:t>
      </w:r>
      <w:r>
        <w:rPr>
          <w:rFonts w:hint="eastAsia"/>
        </w:rPr>
        <w:tab/>
      </w:r>
      <w:r>
        <w:rPr>
          <w:rFonts w:hint="eastAsia"/>
        </w:rPr>
        <w:t>泵的振动测量与评价方法</w:t>
      </w:r>
    </w:p>
    <w:p>
      <w:pPr>
        <w:spacing w:line="360" w:lineRule="auto"/>
        <w:jc w:val="left"/>
        <w:outlineLvl w:val="9"/>
        <w:rPr>
          <w:rFonts w:hint="eastAsia"/>
        </w:rPr>
      </w:pPr>
      <w:r>
        <w:rPr>
          <w:rFonts w:hint="eastAsia"/>
        </w:rPr>
        <w:t>JB/T8098</w:t>
      </w:r>
      <w:r>
        <w:rPr>
          <w:rFonts w:hint="eastAsia"/>
        </w:rPr>
        <w:tab/>
      </w:r>
      <w:r>
        <w:rPr>
          <w:rFonts w:hint="eastAsia"/>
        </w:rPr>
        <w:t>泵的噪声测量与评价方法</w:t>
      </w:r>
    </w:p>
    <w:p>
      <w:pPr>
        <w:spacing w:line="360" w:lineRule="auto"/>
        <w:jc w:val="left"/>
        <w:outlineLvl w:val="9"/>
        <w:rPr>
          <w:rFonts w:hint="eastAsia"/>
        </w:rPr>
      </w:pPr>
      <w:r>
        <w:rPr>
          <w:rFonts w:hint="eastAsia"/>
        </w:rPr>
        <w:t>DL 5011</w:t>
      </w:r>
      <w:r>
        <w:rPr>
          <w:rFonts w:hint="eastAsia"/>
        </w:rPr>
        <w:tab/>
      </w:r>
      <w:r>
        <w:rPr>
          <w:rFonts w:hint="eastAsia"/>
        </w:rPr>
        <w:t>电力建设施工及验收技术规范（汽轮机机组篇）</w:t>
      </w:r>
    </w:p>
    <w:p>
      <w:pPr>
        <w:spacing w:line="360" w:lineRule="auto"/>
        <w:jc w:val="left"/>
        <w:outlineLvl w:val="9"/>
        <w:rPr>
          <w:rFonts w:hint="eastAsia"/>
        </w:rPr>
      </w:pPr>
      <w:r>
        <w:rPr>
          <w:rFonts w:hint="eastAsia"/>
        </w:rPr>
        <w:t>GB10068</w:t>
      </w:r>
      <w:r>
        <w:rPr>
          <w:rFonts w:hint="eastAsia"/>
        </w:rPr>
        <w:tab/>
      </w:r>
      <w:r>
        <w:rPr>
          <w:rFonts w:hint="eastAsia"/>
        </w:rPr>
        <w:t>旋转电机震动测定方法及限制震动限值</w:t>
      </w:r>
    </w:p>
    <w:p>
      <w:pPr>
        <w:spacing w:line="360" w:lineRule="auto"/>
        <w:jc w:val="left"/>
        <w:outlineLvl w:val="9"/>
        <w:rPr>
          <w:rFonts w:hint="eastAsia"/>
        </w:rPr>
      </w:pPr>
      <w:r>
        <w:rPr>
          <w:rFonts w:hint="eastAsia"/>
        </w:rPr>
        <w:t>GB/T16907</w:t>
      </w:r>
      <w:r>
        <w:rPr>
          <w:rFonts w:hint="eastAsia"/>
        </w:rPr>
        <w:tab/>
      </w:r>
      <w:r>
        <w:rPr>
          <w:rFonts w:hint="eastAsia"/>
        </w:rPr>
        <w:t>离心泵技术条件</w:t>
      </w:r>
    </w:p>
    <w:p>
      <w:pPr>
        <w:spacing w:line="360" w:lineRule="auto"/>
        <w:jc w:val="left"/>
        <w:outlineLvl w:val="9"/>
        <w:rPr>
          <w:rFonts w:hint="eastAsia"/>
        </w:rPr>
      </w:pPr>
      <w:r>
        <w:rPr>
          <w:rFonts w:hint="eastAsia"/>
        </w:rPr>
        <w:t>JB/T9218</w:t>
      </w:r>
      <w:r>
        <w:rPr>
          <w:rFonts w:hint="eastAsia"/>
        </w:rPr>
        <w:tab/>
      </w:r>
      <w:r>
        <w:rPr>
          <w:rFonts w:hint="eastAsia"/>
        </w:rPr>
        <w:t>无损探测渗透检测</w:t>
      </w:r>
    </w:p>
    <w:p>
      <w:pPr>
        <w:jc w:val="both"/>
        <w:rPr>
          <w:rFonts w:hint="eastAsia"/>
        </w:rPr>
      </w:pPr>
      <w:r>
        <w:rPr>
          <w:rFonts w:hint="eastAsia"/>
        </w:rPr>
        <w:t>GB/T13957</w:t>
      </w:r>
      <w:r>
        <w:rPr>
          <w:rFonts w:hint="eastAsia"/>
        </w:rPr>
        <w:tab/>
      </w:r>
      <w:r>
        <w:rPr>
          <w:rFonts w:hint="eastAsia"/>
        </w:rPr>
        <w:t>大型三相异步电动机基本系列技术条件</w:t>
      </w:r>
    </w:p>
    <w:p>
      <w:pPr>
        <w:numPr>
          <w:ilvl w:val="0"/>
          <w:numId w:val="2"/>
        </w:numPr>
        <w:jc w:val="both"/>
        <w:rPr>
          <w:rFonts w:hint="eastAsia"/>
          <w:b/>
        </w:rPr>
      </w:pPr>
      <w:r>
        <w:rPr>
          <w:rFonts w:hint="eastAsia"/>
          <w:b/>
        </w:rPr>
        <w:t>解决的主要问题</w:t>
      </w:r>
    </w:p>
    <w:p>
      <w:pPr>
        <w:ind w:firstLine="480" w:firstLineChars="200"/>
        <w:jc w:val="both"/>
        <w:rPr>
          <w:rFonts w:hint="eastAsia" w:eastAsia="宋体"/>
          <w:lang w:eastAsia="zh-CN"/>
        </w:rPr>
      </w:pPr>
      <w:r>
        <w:rPr>
          <w:rFonts w:hint="eastAsia"/>
        </w:rPr>
        <w:t>核电厂凝结水泵是保证核电厂安全运行和汽水品质的关键设备，因此，规范化的运维技术导则对核电厂安全、稳定和经济运行起到至关重要的作用。</w:t>
      </w:r>
      <w:r>
        <w:rPr>
          <w:rFonts w:hint="eastAsia"/>
          <w:lang w:eastAsia="zh-CN"/>
        </w:rPr>
        <w:t>因此，</w:t>
      </w:r>
      <w:r>
        <w:rPr>
          <w:rFonts w:hint="eastAsia"/>
        </w:rPr>
        <w:t>可靠地设备运行和稳定地维修质量尤为重要。编制标准化的核电厂凝结水泵运维技术导则有利于统一和指导各核电厂的运维技术，从而实现核电厂凝结水泵科学化、标准化、卓越化的管理。</w:t>
      </w:r>
    </w:p>
    <w:p>
      <w:pPr>
        <w:ind w:firstLine="480" w:firstLineChars="200"/>
        <w:jc w:val="both"/>
        <w:rPr>
          <w:rFonts w:hint="eastAsia"/>
        </w:rPr>
      </w:pPr>
      <w:r>
        <w:rPr>
          <w:rFonts w:hint="eastAsia"/>
        </w:rPr>
        <w:t>通过充分调研各核电厂凝结水泵类型和运维要求，识别出运维工作的重要环节和不同工况，紧贴实际，力求为国内核电厂凝结水泵运维标准提供准确、详实的依据。凝结水泵运维标准应具有前瞻性和通用性，标准中体现数字化监测和智能化维护等要求，能够满足国内核电厂凝结水泵运维技术的需求。</w:t>
      </w:r>
    </w:p>
    <w:p>
      <w:pPr>
        <w:jc w:val="both"/>
        <w:outlineLvl w:val="0"/>
        <w:rPr>
          <w:b/>
          <w:sz w:val="28"/>
          <w:szCs w:val="28"/>
        </w:rPr>
      </w:pPr>
      <w:r>
        <w:rPr>
          <w:rFonts w:hint="eastAsia"/>
          <w:b/>
          <w:sz w:val="28"/>
          <w:szCs w:val="28"/>
        </w:rPr>
        <w:t>三、主要试验（或验证）情况</w:t>
      </w:r>
    </w:p>
    <w:p>
      <w:pPr>
        <w:ind w:firstLine="480" w:firstLineChars="200"/>
        <w:jc w:val="both"/>
      </w:pPr>
      <w:r>
        <w:rPr>
          <w:rFonts w:hint="eastAsia"/>
        </w:rPr>
        <w:t>不适用。</w:t>
      </w:r>
    </w:p>
    <w:p>
      <w:pPr>
        <w:jc w:val="both"/>
        <w:outlineLvl w:val="0"/>
        <w:rPr>
          <w:b/>
          <w:sz w:val="28"/>
          <w:szCs w:val="28"/>
        </w:rPr>
      </w:pPr>
      <w:r>
        <w:rPr>
          <w:rFonts w:hint="eastAsia"/>
          <w:b/>
          <w:sz w:val="28"/>
          <w:szCs w:val="28"/>
        </w:rPr>
        <w:t>四、标准中涉及专利的情况</w:t>
      </w:r>
    </w:p>
    <w:p>
      <w:pPr>
        <w:ind w:firstLine="480" w:firstLineChars="200"/>
        <w:jc w:val="both"/>
      </w:pPr>
      <w:r>
        <w:rPr>
          <w:rFonts w:hint="eastAsia"/>
        </w:rPr>
        <w:t>本标准不涉及专利问题。</w:t>
      </w:r>
    </w:p>
    <w:p>
      <w:pPr>
        <w:jc w:val="both"/>
        <w:outlineLvl w:val="0"/>
        <w:rPr>
          <w:b/>
          <w:sz w:val="28"/>
          <w:szCs w:val="28"/>
        </w:rPr>
      </w:pPr>
      <w:r>
        <w:rPr>
          <w:rFonts w:hint="eastAsia"/>
          <w:b/>
          <w:sz w:val="28"/>
          <w:szCs w:val="28"/>
        </w:rPr>
        <w:t>五、预期达到的社会效益、对产业发展的作用等情况</w:t>
      </w:r>
    </w:p>
    <w:p>
      <w:pPr>
        <w:ind w:firstLine="480" w:firstLineChars="200"/>
        <w:jc w:val="both"/>
        <w:rPr>
          <w:rFonts w:hint="eastAsia"/>
        </w:rPr>
      </w:pPr>
      <w:r>
        <w:rPr>
          <w:rFonts w:hint="eastAsia"/>
          <w:lang w:eastAsia="zh-CN"/>
        </w:rPr>
        <w:t>本标准应涵盖凝结水泵运行工作的不同工况和维修工作的重要环节</w:t>
      </w:r>
      <w:r>
        <w:rPr>
          <w:rFonts w:hint="eastAsia"/>
        </w:rPr>
        <w:t>，紧贴实际，力求为国内核电厂凝结水泵运维提供准确、详实的依据。凝结水泵运维</w:t>
      </w:r>
      <w:r>
        <w:rPr>
          <w:rFonts w:hint="eastAsia"/>
          <w:lang w:eastAsia="zh-CN"/>
        </w:rPr>
        <w:t>技术导则</w:t>
      </w:r>
      <w:r>
        <w:rPr>
          <w:rFonts w:hint="eastAsia"/>
        </w:rPr>
        <w:t>具有前瞻性和通用性，标准中体现数字化监测和智能化维护等要求，能够满足国内核电厂凝结水泵运维技术的需求</w:t>
      </w:r>
      <w:r>
        <w:rPr>
          <w:rFonts w:hint="eastAsia"/>
          <w:lang w:eastAsia="zh-CN"/>
        </w:rPr>
        <w:t>，</w:t>
      </w:r>
      <w:r>
        <w:rPr>
          <w:rFonts w:hint="eastAsia" w:ascii="宋体" w:hAnsi="宋体" w:eastAsia="宋体" w:cstheme="minorBidi"/>
          <w:kern w:val="2"/>
          <w:sz w:val="24"/>
          <w:szCs w:val="24"/>
          <w:lang w:val="en-US" w:eastAsia="zh-CN" w:bidi="ar-SA"/>
        </w:rPr>
        <w:t>为今后泵国产化提供运维依据</w:t>
      </w:r>
      <w:r>
        <w:rPr>
          <w:rFonts w:hint="eastAsia"/>
        </w:rPr>
        <w:t>。</w:t>
      </w:r>
    </w:p>
    <w:p>
      <w:pPr>
        <w:jc w:val="both"/>
        <w:outlineLvl w:val="0"/>
        <w:rPr>
          <w:b/>
          <w:sz w:val="28"/>
          <w:szCs w:val="28"/>
        </w:rPr>
      </w:pPr>
      <w:r>
        <w:rPr>
          <w:rFonts w:hint="eastAsia"/>
          <w:b/>
          <w:sz w:val="28"/>
          <w:szCs w:val="28"/>
        </w:rPr>
        <w:t>六、与国际、国外对比情况</w:t>
      </w:r>
    </w:p>
    <w:p>
      <w:pPr>
        <w:ind w:firstLine="480" w:firstLineChars="200"/>
        <w:jc w:val="both"/>
      </w:pPr>
      <w:r>
        <w:rPr>
          <w:rFonts w:hint="eastAsia"/>
          <w:lang w:eastAsia="zh-CN"/>
        </w:rPr>
        <w:t>核电厂凝结水泵运维技术导则</w:t>
      </w:r>
      <w:r>
        <w:rPr>
          <w:rFonts w:hint="eastAsia"/>
        </w:rPr>
        <w:t>中相应内容，属于首次发布。在制定标准中的评价要素过程中，充分参考了国内外相关标准，确保标准的成熟、科学、先进性。</w:t>
      </w:r>
    </w:p>
    <w:p>
      <w:pPr>
        <w:jc w:val="both"/>
        <w:outlineLvl w:val="0"/>
        <w:rPr>
          <w:b/>
          <w:sz w:val="28"/>
          <w:szCs w:val="28"/>
        </w:rPr>
      </w:pPr>
      <w:r>
        <w:rPr>
          <w:rFonts w:hint="eastAsia"/>
          <w:b/>
          <w:sz w:val="28"/>
          <w:szCs w:val="28"/>
        </w:rPr>
        <w:t>七、在标准体系中的位置，与现行相关法律、法规、规章及标准，特别是强制性标准的协调性</w:t>
      </w:r>
    </w:p>
    <w:p>
      <w:pPr>
        <w:ind w:firstLine="480" w:firstLineChars="200"/>
        <w:jc w:val="both"/>
        <w:outlineLvl w:val="0"/>
        <w:rPr>
          <w:highlight w:val="none"/>
        </w:rPr>
      </w:pPr>
      <w:r>
        <w:rPr>
          <w:rFonts w:hint="eastAsia"/>
          <w:highlight w:val="none"/>
        </w:rPr>
        <w:t>本标准符合《中华人民共和国标准化法》、国务院《深化标准化工作改革方案》（国发【2015】13号）和国家标准委、民政部《团体标准管理规定》（国标委联【2019】1号）及《团体标准化第一部分：良好行为指南》（GB/T20004.1-2006）等相关管理规定等有关现行法律、法规的要求，与相关强制性标准无冲突。</w:t>
      </w:r>
    </w:p>
    <w:p>
      <w:pPr>
        <w:jc w:val="both"/>
        <w:outlineLvl w:val="0"/>
        <w:rPr>
          <w:b/>
          <w:sz w:val="28"/>
          <w:szCs w:val="28"/>
        </w:rPr>
      </w:pPr>
      <w:r>
        <w:rPr>
          <w:rFonts w:hint="eastAsia"/>
          <w:b/>
          <w:sz w:val="28"/>
          <w:szCs w:val="28"/>
        </w:rPr>
        <w:t>八、重大分歧意见的处理经过和依据</w:t>
      </w:r>
    </w:p>
    <w:p>
      <w:pPr>
        <w:ind w:firstLine="480" w:firstLineChars="200"/>
        <w:jc w:val="both"/>
      </w:pPr>
      <w:r>
        <w:rPr>
          <w:rFonts w:hint="eastAsia"/>
        </w:rPr>
        <w:t>无</w:t>
      </w:r>
    </w:p>
    <w:p>
      <w:pPr>
        <w:jc w:val="both"/>
        <w:outlineLvl w:val="0"/>
        <w:rPr>
          <w:b/>
          <w:sz w:val="28"/>
          <w:szCs w:val="28"/>
        </w:rPr>
      </w:pPr>
      <w:r>
        <w:rPr>
          <w:rFonts w:hint="eastAsia"/>
          <w:b/>
          <w:sz w:val="28"/>
          <w:szCs w:val="28"/>
        </w:rPr>
        <w:t>九、标准性质的建议说明</w:t>
      </w:r>
    </w:p>
    <w:p>
      <w:pPr>
        <w:ind w:firstLine="480" w:firstLineChars="200"/>
        <w:jc w:val="both"/>
      </w:pPr>
      <w:r>
        <w:rPr>
          <w:rFonts w:hint="eastAsia"/>
        </w:rPr>
        <w:t>本标准的性质为团体标准。</w:t>
      </w:r>
    </w:p>
    <w:p>
      <w:pPr>
        <w:jc w:val="both"/>
        <w:outlineLvl w:val="0"/>
        <w:rPr>
          <w:b/>
          <w:sz w:val="28"/>
          <w:szCs w:val="28"/>
        </w:rPr>
      </w:pPr>
      <w:r>
        <w:rPr>
          <w:rFonts w:hint="eastAsia"/>
          <w:b/>
          <w:sz w:val="28"/>
          <w:szCs w:val="28"/>
        </w:rPr>
        <w:t>十、贯彻标准的要求和措施建议</w:t>
      </w:r>
    </w:p>
    <w:p>
      <w:pPr>
        <w:ind w:firstLine="480" w:firstLineChars="200"/>
        <w:jc w:val="both"/>
        <w:rPr>
          <w:rFonts w:hint="eastAsia"/>
        </w:rPr>
      </w:pPr>
      <w:r>
        <w:rPr>
          <w:rFonts w:hint="eastAsia"/>
        </w:rPr>
        <w:t>标准发布后，编制组将配合中国核能行业协会，组织行业召开标准宣贯会，开展培训活动促进该标准更好的贯彻实施。</w:t>
      </w:r>
    </w:p>
    <w:p>
      <w:pPr>
        <w:ind w:firstLine="480" w:firstLineChars="200"/>
        <w:jc w:val="both"/>
        <w:rPr>
          <w:rFonts w:hint="eastAsia"/>
        </w:rPr>
      </w:pPr>
    </w:p>
    <w:p>
      <w:pPr>
        <w:jc w:val="both"/>
        <w:outlineLvl w:val="0"/>
        <w:rPr>
          <w:b/>
          <w:sz w:val="28"/>
          <w:szCs w:val="28"/>
        </w:rPr>
      </w:pPr>
      <w:r>
        <w:rPr>
          <w:rFonts w:hint="eastAsia"/>
          <w:b/>
          <w:sz w:val="28"/>
          <w:szCs w:val="28"/>
        </w:rPr>
        <w:t>十一、废止现行相关标准的建议</w:t>
      </w:r>
    </w:p>
    <w:p>
      <w:pPr>
        <w:ind w:firstLine="480" w:firstLineChars="200"/>
        <w:jc w:val="both"/>
      </w:pPr>
      <w:r>
        <w:rPr>
          <w:rFonts w:hint="eastAsia"/>
        </w:rPr>
        <w:t>无</w:t>
      </w:r>
    </w:p>
    <w:p>
      <w:pPr>
        <w:jc w:val="both"/>
        <w:outlineLvl w:val="0"/>
        <w:rPr>
          <w:b/>
          <w:sz w:val="28"/>
          <w:szCs w:val="28"/>
        </w:rPr>
      </w:pPr>
      <w:r>
        <w:rPr>
          <w:rFonts w:hint="eastAsia"/>
          <w:b/>
          <w:sz w:val="28"/>
          <w:szCs w:val="28"/>
        </w:rPr>
        <w:t>十二、其他应予说明的事项</w:t>
      </w:r>
    </w:p>
    <w:p>
      <w:pPr>
        <w:ind w:firstLine="480" w:firstLineChars="200"/>
        <w:jc w:val="both"/>
      </w:pPr>
      <w:r>
        <w:rPr>
          <w:rFonts w:hint="eastAsia"/>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7BD410"/>
    <w:multiLevelType w:val="singleLevel"/>
    <w:tmpl w:val="0D7BD410"/>
    <w:lvl w:ilvl="0" w:tentative="0">
      <w:start w:val="3"/>
      <w:numFmt w:val="decimal"/>
      <w:suff w:val="nothing"/>
      <w:lvlText w:val="%1、"/>
      <w:lvlJc w:val="left"/>
    </w:lvl>
  </w:abstractNum>
  <w:abstractNum w:abstractNumId="1">
    <w:nsid w:val="7E579883"/>
    <w:multiLevelType w:val="singleLevel"/>
    <w:tmpl w:val="7E579883"/>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xZWViOWRhNTMxODU3MDFlZGQ1N2RmNzM0MTFkMDUifQ=="/>
  </w:docVars>
  <w:rsids>
    <w:rsidRoot w:val="002E1F35"/>
    <w:rsid w:val="00012D35"/>
    <w:rsid w:val="00015D33"/>
    <w:rsid w:val="00025AC1"/>
    <w:rsid w:val="0004339A"/>
    <w:rsid w:val="0004736B"/>
    <w:rsid w:val="0006785B"/>
    <w:rsid w:val="000C204E"/>
    <w:rsid w:val="000E417D"/>
    <w:rsid w:val="00132C00"/>
    <w:rsid w:val="0015187A"/>
    <w:rsid w:val="00157A39"/>
    <w:rsid w:val="00161CD2"/>
    <w:rsid w:val="001A1B86"/>
    <w:rsid w:val="001A3756"/>
    <w:rsid w:val="001C653F"/>
    <w:rsid w:val="001F08AC"/>
    <w:rsid w:val="0022115D"/>
    <w:rsid w:val="00233D54"/>
    <w:rsid w:val="0024244C"/>
    <w:rsid w:val="002672CD"/>
    <w:rsid w:val="00285F39"/>
    <w:rsid w:val="00295224"/>
    <w:rsid w:val="002D1B3E"/>
    <w:rsid w:val="002E1F35"/>
    <w:rsid w:val="002E3C44"/>
    <w:rsid w:val="00304B40"/>
    <w:rsid w:val="003430C9"/>
    <w:rsid w:val="003859DF"/>
    <w:rsid w:val="003B4823"/>
    <w:rsid w:val="003C1E61"/>
    <w:rsid w:val="003D226B"/>
    <w:rsid w:val="00426630"/>
    <w:rsid w:val="00436582"/>
    <w:rsid w:val="0045278E"/>
    <w:rsid w:val="004656F6"/>
    <w:rsid w:val="00485521"/>
    <w:rsid w:val="00491BFB"/>
    <w:rsid w:val="004A7774"/>
    <w:rsid w:val="004C6884"/>
    <w:rsid w:val="004E1652"/>
    <w:rsid w:val="004E641A"/>
    <w:rsid w:val="00513F22"/>
    <w:rsid w:val="00520FE0"/>
    <w:rsid w:val="005217E6"/>
    <w:rsid w:val="005517E6"/>
    <w:rsid w:val="00560AD0"/>
    <w:rsid w:val="005B4F25"/>
    <w:rsid w:val="006036B5"/>
    <w:rsid w:val="00652739"/>
    <w:rsid w:val="00653A39"/>
    <w:rsid w:val="006633BA"/>
    <w:rsid w:val="00675F81"/>
    <w:rsid w:val="006A6B3C"/>
    <w:rsid w:val="006A6B56"/>
    <w:rsid w:val="006C64F2"/>
    <w:rsid w:val="006E0F94"/>
    <w:rsid w:val="006E1B59"/>
    <w:rsid w:val="0070047E"/>
    <w:rsid w:val="0073149B"/>
    <w:rsid w:val="0074444E"/>
    <w:rsid w:val="00764E9E"/>
    <w:rsid w:val="007654E1"/>
    <w:rsid w:val="0078433B"/>
    <w:rsid w:val="007849B0"/>
    <w:rsid w:val="00792AD3"/>
    <w:rsid w:val="007960DC"/>
    <w:rsid w:val="007F6CA2"/>
    <w:rsid w:val="00843600"/>
    <w:rsid w:val="008A3CDB"/>
    <w:rsid w:val="008B681C"/>
    <w:rsid w:val="008C2360"/>
    <w:rsid w:val="008C7ABA"/>
    <w:rsid w:val="008D21FD"/>
    <w:rsid w:val="008D4AC9"/>
    <w:rsid w:val="008F0708"/>
    <w:rsid w:val="008F54C6"/>
    <w:rsid w:val="00901D6C"/>
    <w:rsid w:val="0091184A"/>
    <w:rsid w:val="0092780A"/>
    <w:rsid w:val="00937E32"/>
    <w:rsid w:val="0095616C"/>
    <w:rsid w:val="009D59FE"/>
    <w:rsid w:val="009F23AD"/>
    <w:rsid w:val="00A11F37"/>
    <w:rsid w:val="00A33BF8"/>
    <w:rsid w:val="00A54EAD"/>
    <w:rsid w:val="00A56356"/>
    <w:rsid w:val="00A578FB"/>
    <w:rsid w:val="00A740E0"/>
    <w:rsid w:val="00A87DDB"/>
    <w:rsid w:val="00A95E3D"/>
    <w:rsid w:val="00AB5F92"/>
    <w:rsid w:val="00AC1E52"/>
    <w:rsid w:val="00AD4ACB"/>
    <w:rsid w:val="00AE1F12"/>
    <w:rsid w:val="00B0156F"/>
    <w:rsid w:val="00B24A56"/>
    <w:rsid w:val="00B75E95"/>
    <w:rsid w:val="00B91B63"/>
    <w:rsid w:val="00BA0B53"/>
    <w:rsid w:val="00BE3789"/>
    <w:rsid w:val="00C455B7"/>
    <w:rsid w:val="00C478E3"/>
    <w:rsid w:val="00C54298"/>
    <w:rsid w:val="00C6693C"/>
    <w:rsid w:val="00C71C89"/>
    <w:rsid w:val="00C84337"/>
    <w:rsid w:val="00C925E1"/>
    <w:rsid w:val="00CA0002"/>
    <w:rsid w:val="00CB603C"/>
    <w:rsid w:val="00CC0FE6"/>
    <w:rsid w:val="00CC40C4"/>
    <w:rsid w:val="00CD5539"/>
    <w:rsid w:val="00D01926"/>
    <w:rsid w:val="00D80D5F"/>
    <w:rsid w:val="00DA6AF1"/>
    <w:rsid w:val="00DC29B1"/>
    <w:rsid w:val="00DC6D21"/>
    <w:rsid w:val="00DC7C74"/>
    <w:rsid w:val="00DD2411"/>
    <w:rsid w:val="00E0783F"/>
    <w:rsid w:val="00E27A16"/>
    <w:rsid w:val="00E34741"/>
    <w:rsid w:val="00E3710F"/>
    <w:rsid w:val="00E52AD7"/>
    <w:rsid w:val="00E842C7"/>
    <w:rsid w:val="00E93495"/>
    <w:rsid w:val="00E945ED"/>
    <w:rsid w:val="00EA7B18"/>
    <w:rsid w:val="00EC6924"/>
    <w:rsid w:val="00EE36D1"/>
    <w:rsid w:val="00F015AF"/>
    <w:rsid w:val="00F027EF"/>
    <w:rsid w:val="00F02C20"/>
    <w:rsid w:val="00F27518"/>
    <w:rsid w:val="00F32AB0"/>
    <w:rsid w:val="00F542E0"/>
    <w:rsid w:val="00F60B7D"/>
    <w:rsid w:val="00FB6407"/>
    <w:rsid w:val="00FD5EBA"/>
    <w:rsid w:val="010F7FF3"/>
    <w:rsid w:val="02315D47"/>
    <w:rsid w:val="028E13EB"/>
    <w:rsid w:val="05A50B44"/>
    <w:rsid w:val="09870DF2"/>
    <w:rsid w:val="0C7E1553"/>
    <w:rsid w:val="0F166DEA"/>
    <w:rsid w:val="113D3AD3"/>
    <w:rsid w:val="1300779B"/>
    <w:rsid w:val="14D013EF"/>
    <w:rsid w:val="1A6C7F17"/>
    <w:rsid w:val="1ABD41C4"/>
    <w:rsid w:val="1B12458C"/>
    <w:rsid w:val="21CA5B44"/>
    <w:rsid w:val="265E4AAD"/>
    <w:rsid w:val="29341AF5"/>
    <w:rsid w:val="2BFA7026"/>
    <w:rsid w:val="2DC518B5"/>
    <w:rsid w:val="31AD65C7"/>
    <w:rsid w:val="39DF785B"/>
    <w:rsid w:val="402423F4"/>
    <w:rsid w:val="44784B34"/>
    <w:rsid w:val="47886504"/>
    <w:rsid w:val="4C6439A0"/>
    <w:rsid w:val="4F6C1739"/>
    <w:rsid w:val="5017271D"/>
    <w:rsid w:val="52F42171"/>
    <w:rsid w:val="53394028"/>
    <w:rsid w:val="565D002E"/>
    <w:rsid w:val="5BE00DEC"/>
    <w:rsid w:val="63E458EA"/>
    <w:rsid w:val="6A793230"/>
    <w:rsid w:val="73E57D9D"/>
    <w:rsid w:val="79E77E8E"/>
    <w:rsid w:val="7B022443"/>
    <w:rsid w:val="7C41291F"/>
    <w:rsid w:val="7D5E0064"/>
    <w:rsid w:val="7FAC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style>
  <w:style w:type="paragraph" w:styleId="3">
    <w:name w:val="Balloon Text"/>
    <w:basedOn w:val="1"/>
    <w:link w:val="14"/>
    <w:semiHidden/>
    <w:unhideWhenUsed/>
    <w:qFormat/>
    <w:uiPriority w:val="99"/>
    <w:pPr>
      <w:spacing w:line="240" w:lineRule="auto"/>
    </w:pPr>
    <w:rPr>
      <w:sz w:val="18"/>
      <w:szCs w:val="18"/>
    </w:rPr>
  </w:style>
  <w:style w:type="paragraph" w:styleId="4">
    <w:name w:val="footer"/>
    <w:basedOn w:val="1"/>
    <w:link w:val="18"/>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semiHidden/>
    <w:unhideWhenUsed/>
    <w:uiPriority w:val="99"/>
    <w:pPr>
      <w:spacing w:before="100" w:beforeAutospacing="1" w:after="100" w:afterAutospacing="1" w:line="240" w:lineRule="auto"/>
    </w:pPr>
    <w:rPr>
      <w:rFonts w:cs="宋体"/>
      <w:kern w:val="0"/>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paragraph" w:customStyle="1" w:styleId="12">
    <w:name w:val="段"/>
    <w:link w:val="1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段 Char"/>
    <w:link w:val="12"/>
    <w:qFormat/>
    <w:uiPriority w:val="0"/>
    <w:rPr>
      <w:rFonts w:hAnsi="Times New Roman" w:cs="Times New Roman"/>
      <w:kern w:val="0"/>
      <w:sz w:val="21"/>
      <w:szCs w:val="20"/>
    </w:r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7"/>
    <w:semiHidden/>
    <w:qFormat/>
    <w:uiPriority w:val="99"/>
    <w:rPr>
      <w:b/>
      <w:bCs/>
    </w:rPr>
  </w:style>
  <w:style w:type="character" w:customStyle="1" w:styleId="17">
    <w:name w:val="页眉 字符"/>
    <w:basedOn w:val="9"/>
    <w:link w:val="5"/>
    <w:qFormat/>
    <w:uiPriority w:val="99"/>
    <w:rPr>
      <w:sz w:val="18"/>
      <w:szCs w:val="18"/>
    </w:rPr>
  </w:style>
  <w:style w:type="character" w:customStyle="1" w:styleId="18">
    <w:name w:val="页脚 字符"/>
    <w:basedOn w:val="9"/>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2403</Words>
  <Characters>2603</Characters>
  <Lines>23</Lines>
  <Paragraphs>6</Paragraphs>
  <TotalTime>8</TotalTime>
  <ScaleCrop>false</ScaleCrop>
  <LinksUpToDate>false</LinksUpToDate>
  <CharactersWithSpaces>2633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2022-05-12T12:01:00Z</dcterms:created>
  <dc:creator>王炫</dc:creator>
  <cp:lastModifiedBy>Administrator</cp:lastModifiedBy>
  <dcterms:modified xsi:type="dcterms:W3CDTF">2022-11-10T01:55:36Z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CD6ED030C8E94283B78FDDBF5497F8B1</vt:lpwstr>
  </property>
</Properties>
</file>